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IX DEVIR: ENCONTRO DE PESQUISADORES EM INOVA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ÇÃ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E SOCIEDADE</w:t>
      </w:r>
    </w:p>
    <w:p>
      <w:pPr>
        <w:pStyle w:val="Body"/>
        <w:spacing w:after="0" w:line="240" w:lineRule="auto"/>
        <w:jc w:val="center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CHAMADA DE TRABALHOS 202</w:t>
      </w:r>
      <w:r>
        <w:rPr>
          <w:b w:val="1"/>
          <w:bCs w:val="1"/>
          <w:sz w:val="24"/>
          <w:szCs w:val="24"/>
          <w:rtl w:val="0"/>
        </w:rPr>
        <w:t>6</w:t>
      </w:r>
    </w:p>
    <w:p>
      <w:pPr>
        <w:pStyle w:val="Body"/>
        <w:spacing w:after="0" w:line="240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 Comiss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Cient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fica do IX Devir: Encontro de pesquisadores em inova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e sociedade 202</w:t>
      </w:r>
      <w:r>
        <w:rPr>
          <w:sz w:val="24"/>
          <w:szCs w:val="24"/>
          <w:rtl w:val="0"/>
        </w:rPr>
        <w:t>6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promovido pela Coordena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Pesquisa, Extens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e Interc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mbio</w:t>
      </w:r>
      <w:r>
        <w:rPr>
          <w:sz w:val="24"/>
          <w:szCs w:val="24"/>
          <w:rtl w:val="0"/>
          <w:lang w:val="pt-PT"/>
        </w:rPr>
        <w:t xml:space="preserve"> do Centro Universit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 xml:space="preserve">rio AESO-Barros Melo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pt-PT"/>
        </w:rPr>
        <w:t>UNIAESO e da Faculdade Barros Melo Recife - UNIAESO declara aberto o prazo para submiss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de resumos expandidos e artigos para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fins de apresenta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pesquisas de cunho te</w:t>
      </w:r>
      <w:r>
        <w:rPr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rico e/ou pr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tico nos Grupos Tem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ticos (GTs) que ser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realizados nos dias 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18 a 20 de maio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ody"/>
        <w:spacing w:after="0" w:line="240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evento tem como objetivo promover a produ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 cient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fica e a troca de saberes entre os discentes e docentes da UNIAESO e de outras institui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es de ensino superior. </w:t>
      </w:r>
    </w:p>
    <w:p>
      <w:pPr>
        <w:pStyle w:val="Body"/>
        <w:spacing w:after="0" w:line="240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Cada GT ser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mediado por professores desta institui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o, podendo docentes externos e egressos virem a ser convidados. O objetivo dessa din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mica </w:t>
      </w:r>
      <w:r>
        <w:rPr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envolver estudantes e professores em um amplo debate sobre as tem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ticas do seu campo disciplinar. Os Grupos Tem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ticos abrangem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reas e temas diversos e visam estimular a realiza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novas pesquisas por meio de discuss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sobre quest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te</w:t>
      </w:r>
      <w:r>
        <w:rPr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ricas, emp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ricas e metodol</w:t>
      </w:r>
      <w:r>
        <w:rPr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gicas. </w:t>
      </w:r>
    </w:p>
    <w:p>
      <w:pPr>
        <w:pStyle w:val="Body"/>
        <w:spacing w:after="0" w:line="240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1. PRAZO PARA SUBMISS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Ã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</w:t>
      </w:r>
    </w:p>
    <w:p>
      <w:pPr>
        <w:pStyle w:val="Body"/>
        <w:widowControl w:val="0"/>
        <w:spacing w:after="0" w:line="240" w:lineRule="auto"/>
        <w:jc w:val="both"/>
        <w:rPr>
          <w:sz w:val="24"/>
          <w:szCs w:val="24"/>
          <w:shd w:val="clear" w:color="auto" w:fill="ffff00"/>
        </w:rPr>
      </w:pPr>
      <w:r>
        <w:rPr>
          <w:b w:val="1"/>
          <w:bCs w:val="1"/>
          <w:sz w:val="24"/>
          <w:szCs w:val="24"/>
          <w:rtl w:val="0"/>
        </w:rPr>
        <w:t>1.1</w:t>
      </w:r>
      <w:r>
        <w:rPr>
          <w:sz w:val="24"/>
          <w:szCs w:val="24"/>
          <w:rtl w:val="0"/>
          <w:lang w:val="pt-PT"/>
        </w:rPr>
        <w:t xml:space="preserve"> O prazo de envio dos resumos expandidos ser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 xml:space="preserve">de </w:t>
      </w:r>
      <w:r>
        <w:rPr>
          <w:b w:val="1"/>
          <w:bCs w:val="1"/>
          <w:sz w:val="24"/>
          <w:szCs w:val="24"/>
          <w:rtl w:val="0"/>
          <w:lang w:val="pt-PT"/>
        </w:rPr>
        <w:t>09 de mar</w:t>
      </w:r>
      <w:r>
        <w:rPr>
          <w:b w:val="1"/>
          <w:bCs w:val="1"/>
          <w:sz w:val="24"/>
          <w:szCs w:val="24"/>
          <w:rtl w:val="0"/>
        </w:rPr>
        <w:t>ç</w:t>
      </w:r>
      <w:r>
        <w:rPr>
          <w:b w:val="1"/>
          <w:bCs w:val="1"/>
          <w:sz w:val="24"/>
          <w:szCs w:val="24"/>
          <w:rtl w:val="0"/>
          <w:lang w:val="pt-PT"/>
        </w:rPr>
        <w:t>o a 27 de abril.</w:t>
      </w:r>
      <w:r>
        <w:rPr>
          <w:b w:val="1"/>
          <w:bCs w:val="1"/>
          <w:sz w:val="24"/>
          <w:szCs w:val="24"/>
          <w:shd w:val="clear" w:color="auto" w:fill="ffff00"/>
          <w:rtl w:val="0"/>
        </w:rPr>
        <w:t xml:space="preserve"> </w:t>
      </w:r>
    </w:p>
    <w:p>
      <w:pPr>
        <w:pStyle w:val="Body"/>
        <w:widowControl w:val="0"/>
        <w:spacing w:after="0" w:line="240" w:lineRule="auto"/>
        <w:jc w:val="both"/>
        <w:rPr>
          <w:sz w:val="24"/>
          <w:szCs w:val="24"/>
        </w:rPr>
      </w:pPr>
    </w:p>
    <w:p>
      <w:pPr>
        <w:pStyle w:val="Body"/>
        <w:spacing w:after="0" w:line="240" w:lineRule="auto"/>
        <w:jc w:val="both"/>
        <w:rPr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2. GRUPOS TEM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TICOS  </w:t>
      </w:r>
    </w:p>
    <w:p>
      <w:pPr>
        <w:pStyle w:val="Body"/>
        <w:spacing w:after="0" w:line="240" w:lineRule="auto"/>
        <w:jc w:val="both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2.1 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Os pesquisadores podem submeter trabalhos em qualquer um dos Grupos Tem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ticos listados abaixo:</w:t>
      </w:r>
    </w:p>
    <w:p>
      <w:pPr>
        <w:pStyle w:val="Body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GT1. Comunica</w:t>
      </w:r>
      <w:r>
        <w:rPr>
          <w:b w:val="1"/>
          <w:bCs w:val="1"/>
          <w:sz w:val="24"/>
          <w:szCs w:val="24"/>
          <w:rtl w:val="0"/>
          <w:lang w:val="pt-PT"/>
        </w:rPr>
        <w:t>çã</w:t>
      </w:r>
      <w:r>
        <w:rPr>
          <w:b w:val="1"/>
          <w:bCs w:val="1"/>
          <w:sz w:val="24"/>
          <w:szCs w:val="24"/>
          <w:rtl w:val="0"/>
          <w:lang w:val="pt-PT"/>
        </w:rPr>
        <w:t>o, justi</w:t>
      </w:r>
      <w:r>
        <w:rPr>
          <w:b w:val="1"/>
          <w:bCs w:val="1"/>
          <w:sz w:val="24"/>
          <w:szCs w:val="24"/>
          <w:rtl w:val="0"/>
        </w:rPr>
        <w:t>ç</w:t>
      </w:r>
      <w:r>
        <w:rPr>
          <w:b w:val="1"/>
          <w:bCs w:val="1"/>
          <w:sz w:val="24"/>
          <w:szCs w:val="24"/>
          <w:rtl w:val="0"/>
          <w:lang w:val="it-IT"/>
        </w:rPr>
        <w:t>a e tecnologia:</w:t>
      </w:r>
      <w:r>
        <w:rPr>
          <w:b w:val="1"/>
          <w:bCs w:val="1"/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>Teoria da comunica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it-IT"/>
        </w:rPr>
        <w:t>o. Comunica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em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>de. Novos meios. Jornalismo. Justi</w:t>
      </w:r>
      <w:r>
        <w:rPr>
          <w:sz w:val="24"/>
          <w:szCs w:val="24"/>
          <w:rtl w:val="0"/>
        </w:rPr>
        <w:t>ç</w:t>
      </w:r>
      <w:r>
        <w:rPr>
          <w:sz w:val="24"/>
          <w:szCs w:val="24"/>
          <w:rtl w:val="0"/>
          <w:lang w:val="pt-PT"/>
        </w:rPr>
        <w:t>a, direito e novas tecnologias. Sociedade da informa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it-IT"/>
        </w:rPr>
        <w:t>o. 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it-IT"/>
        </w:rPr>
        <w:t>dia e converg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>ncia. 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dias digitais, sociedade e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>de. Midiativismo. Cultura Visual e partilha em rede. Tecnologia da informa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o. Narrativas, hibridismo e transmidia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it-IT"/>
        </w:rPr>
        <w:t>o. Design e comunica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visual. Publicidade e propaganda em seus m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 xml:space="preserve">ltiplos usos; comercial ou voltada para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</w:rPr>
        <w:t>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>de. Curadoria digital. Arquivos, mem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pt-PT"/>
        </w:rPr>
        <w:t>ria e apropria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es.</w:t>
      </w:r>
      <w:r>
        <w:rPr>
          <w:sz w:val="24"/>
          <w:szCs w:val="24"/>
          <w:rtl w:val="0"/>
        </w:rPr>
        <w:t> </w:t>
      </w:r>
    </w:p>
    <w:p>
      <w:pPr>
        <w:pStyle w:val="Body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GT2. Cultura, educa</w:t>
      </w:r>
      <w:r>
        <w:rPr>
          <w:b w:val="1"/>
          <w:bCs w:val="1"/>
          <w:sz w:val="24"/>
          <w:szCs w:val="24"/>
          <w:rtl w:val="0"/>
          <w:lang w:val="pt-PT"/>
        </w:rPr>
        <w:t>çã</w:t>
      </w:r>
      <w:r>
        <w:rPr>
          <w:b w:val="1"/>
          <w:bCs w:val="1"/>
          <w:sz w:val="24"/>
          <w:szCs w:val="24"/>
          <w:rtl w:val="0"/>
          <w:lang w:val="it-IT"/>
        </w:rPr>
        <w:t>o e inclus</w:t>
      </w:r>
      <w:r>
        <w:rPr>
          <w:b w:val="1"/>
          <w:bCs w:val="1"/>
          <w:sz w:val="24"/>
          <w:szCs w:val="24"/>
          <w:rtl w:val="0"/>
          <w:lang w:val="pt-PT"/>
        </w:rPr>
        <w:t>ã</w:t>
      </w:r>
      <w:r>
        <w:rPr>
          <w:b w:val="1"/>
          <w:bCs w:val="1"/>
          <w:sz w:val="24"/>
          <w:szCs w:val="24"/>
          <w:rtl w:val="0"/>
          <w:lang w:val="it-IT"/>
        </w:rPr>
        <w:t>o:</w:t>
      </w:r>
      <w:r>
        <w:rPr>
          <w:b w:val="1"/>
          <w:bCs w:val="1"/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>Cultura das 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dias. Arte e cultura popular. Metodologias de pesquisas em media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 culturais. A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 e projetos culturais e/ou educativos. Folkcomunica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o. Artivismo e 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cultural. Responsabilidade socioambiental. Mem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it-IT"/>
        </w:rPr>
        <w:t>ria e patrim</w:t>
      </w:r>
      <w:r>
        <w:rPr>
          <w:sz w:val="24"/>
          <w:szCs w:val="24"/>
          <w:rtl w:val="0"/>
        </w:rPr>
        <w:t>ô</w:t>
      </w:r>
      <w:r>
        <w:rPr>
          <w:sz w:val="24"/>
          <w:szCs w:val="24"/>
          <w:rtl w:val="0"/>
          <w:lang w:val="pt-PT"/>
        </w:rPr>
        <w:t>nio cultural. Teoria da educa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o. Educa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em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de.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es-ES_tradnl"/>
        </w:rPr>
        <w:t>Inclus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digital. Ensino e cultura visual. Gamifica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 xml:space="preserve">o na sala de aula e na 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rea da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>de. Participa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popular nos sistemas e servi</w:t>
      </w:r>
      <w:r>
        <w:rPr>
          <w:sz w:val="24"/>
          <w:szCs w:val="24"/>
          <w:rtl w:val="0"/>
        </w:rPr>
        <w:t>ç</w:t>
      </w:r>
      <w:r>
        <w:rPr>
          <w:sz w:val="24"/>
          <w:szCs w:val="24"/>
          <w:rtl w:val="0"/>
          <w:lang w:val="es-ES_tradnl"/>
        </w:rPr>
        <w:t>os de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de.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>de mental e pol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 xml:space="preserve">ticas sociais.  </w:t>
      </w:r>
    </w:p>
    <w:p>
      <w:pPr>
        <w:pStyle w:val="Body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>GT3. Arte, imagem e modos de express</w:t>
      </w:r>
      <w:r>
        <w:rPr>
          <w:b w:val="1"/>
          <w:bCs w:val="1"/>
          <w:sz w:val="24"/>
          <w:szCs w:val="24"/>
          <w:rtl w:val="0"/>
          <w:lang w:val="pt-PT"/>
        </w:rPr>
        <w:t>ã</w:t>
      </w:r>
      <w:r>
        <w:rPr>
          <w:b w:val="1"/>
          <w:bCs w:val="1"/>
          <w:sz w:val="24"/>
          <w:szCs w:val="24"/>
          <w:rtl w:val="0"/>
          <w:lang w:val="it-IT"/>
        </w:rPr>
        <w:t>o:</w:t>
      </w:r>
      <w:r>
        <w:rPr>
          <w:b w:val="1"/>
          <w:bCs w:val="1"/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>Estudos contempor</w:t>
      </w:r>
      <w:r>
        <w:rPr>
          <w:sz w:val="24"/>
          <w:szCs w:val="24"/>
          <w:rtl w:val="0"/>
        </w:rPr>
        <w:t>â</w:t>
      </w:r>
      <w:r>
        <w:rPr>
          <w:sz w:val="24"/>
          <w:szCs w:val="24"/>
          <w:rtl w:val="0"/>
          <w:lang w:val="pt-PT"/>
        </w:rPr>
        <w:t>neos das Artes, do Cinema e da Fotografia. Teoria da imagem. Artes integradas. Arte e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>de. Processos art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sticos e recria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si. Arte, est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tica e psicologia. Processos criativos e art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sticos em design gr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fico e/ou publicidade.</w:t>
      </w:r>
      <w:r>
        <w:rPr>
          <w:b w:val="1"/>
          <w:bCs w:val="1"/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it-IT"/>
        </w:rPr>
        <w:t>Tecnologia e linguagens h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bridas. Est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ticas fotogr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ficas e audiovisuais. Fotografia art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it-IT"/>
        </w:rPr>
        <w:t>stica. Arte e 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dia. Visualidades e visibilidades contempor</w:t>
      </w:r>
      <w:r>
        <w:rPr>
          <w:sz w:val="24"/>
          <w:szCs w:val="24"/>
          <w:rtl w:val="0"/>
        </w:rPr>
        <w:t>â</w:t>
      </w:r>
      <w:r>
        <w:rPr>
          <w:sz w:val="24"/>
          <w:szCs w:val="24"/>
          <w:rtl w:val="0"/>
          <w:lang w:val="pt-PT"/>
        </w:rPr>
        <w:t>neas. Difus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audiovisual. Usos das imagens 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cnicas. Processos e cria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desenvolvimento de jogos digitais. Jogos como ferramenta de aprendizado em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 xml:space="preserve">de. </w:t>
      </w:r>
    </w:p>
    <w:p>
      <w:pPr>
        <w:pStyle w:val="Body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>GT4. Som, arte sonora e linguagens expandidas:</w:t>
      </w:r>
      <w:r>
        <w:rPr>
          <w:b w:val="1"/>
          <w:bCs w:val="1"/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it-IT"/>
        </w:rPr>
        <w:t>sica, 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dia sonora e escuta. 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dio, podcast, streaming e compartilhamento. Tecnologias de produ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o, reprodu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e consumo na cultura ac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it-IT"/>
        </w:rPr>
        <w:t>stica.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>Trilha sonora, som ambiente, sonoplastia e ru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do no audiovisual.</w:t>
      </w:r>
      <w:r>
        <w:rPr>
          <w:sz w:val="24"/>
          <w:szCs w:val="24"/>
          <w:rtl w:val="0"/>
        </w:rPr>
        <w:t> </w:t>
      </w:r>
      <w:r>
        <w:rPr>
          <w:i w:val="1"/>
          <w:iCs w:val="1"/>
          <w:sz w:val="24"/>
          <w:szCs w:val="24"/>
          <w:rtl w:val="0"/>
          <w:lang w:val="en-US"/>
        </w:rPr>
        <w:t>Jingle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>e sons para comunica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it-IT"/>
        </w:rPr>
        <w:t>o. Audiodescri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it-IT"/>
        </w:rPr>
        <w:t>o. Arte Sonora. Poesia visual e sonora. Linguagens po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ticas, dispositivos e suas interconex</w:t>
      </w:r>
      <w:r>
        <w:rPr>
          <w:sz w:val="24"/>
          <w:szCs w:val="24"/>
          <w:rtl w:val="0"/>
          <w:lang w:val="pt-PT"/>
        </w:rPr>
        <w:t>õ</w:t>
      </w:r>
      <w:r>
        <w:rPr>
          <w:sz w:val="24"/>
          <w:szCs w:val="24"/>
          <w:rtl w:val="0"/>
          <w:lang w:val="pt-PT"/>
        </w:rPr>
        <w:t>es com vari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veis econ</w:t>
      </w:r>
      <w:r>
        <w:rPr>
          <w:sz w:val="24"/>
          <w:szCs w:val="24"/>
          <w:rtl w:val="0"/>
        </w:rPr>
        <w:t>ô</w:t>
      </w:r>
      <w:r>
        <w:rPr>
          <w:sz w:val="24"/>
          <w:szCs w:val="24"/>
          <w:rtl w:val="0"/>
          <w:lang w:val="pt-PT"/>
        </w:rPr>
        <w:t>micas, culturais e pol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ticas. Interven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it-IT"/>
        </w:rPr>
        <w:t>o urbana multim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it-IT"/>
        </w:rPr>
        <w:t>dia. M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es-ES_tradnl"/>
        </w:rPr>
        <w:t>sica, est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>tica, pol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it-IT"/>
        </w:rPr>
        <w:t>tica e mem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pt-PT"/>
        </w:rPr>
        <w:t>ria. Cenas musicais.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de-DE"/>
        </w:rPr>
        <w:t>Produ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e compartilhamento de informa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</w:rPr>
        <w:t>es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em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de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>atrav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s de 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dias sonoras. M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it-IT"/>
        </w:rPr>
        <w:t>sica e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de.</w:t>
      </w:r>
    </w:p>
    <w:p>
      <w:pPr>
        <w:pStyle w:val="Body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>GT5. Discurso, poder e subjetividade:</w:t>
      </w:r>
      <w:r>
        <w:rPr>
          <w:b w:val="1"/>
          <w:bCs w:val="1"/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G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>nero, cultura, discurso e diversidade. Subjetividade e express</w:t>
      </w:r>
      <w:r>
        <w:rPr>
          <w:sz w:val="24"/>
          <w:szCs w:val="24"/>
          <w:rtl w:val="0"/>
          <w:lang w:val="pt-PT"/>
        </w:rPr>
        <w:t>õ</w:t>
      </w:r>
      <w:r>
        <w:rPr>
          <w:sz w:val="24"/>
          <w:szCs w:val="24"/>
          <w:rtl w:val="0"/>
          <w:lang w:val="pt-PT"/>
        </w:rPr>
        <w:t>es. Discurso e produ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subjetividade. G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>nero e/ou rela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fr-FR"/>
        </w:rPr>
        <w:t xml:space="preserve">es 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tnico-raciais. Corpo, g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>nero, sociedade e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>de. Corpo e racialidade. Direitos, lei e justi</w:t>
      </w:r>
      <w:r>
        <w:rPr>
          <w:sz w:val="24"/>
          <w:szCs w:val="24"/>
          <w:rtl w:val="0"/>
        </w:rPr>
        <w:t>ç</w:t>
      </w:r>
      <w:r>
        <w:rPr>
          <w:sz w:val="24"/>
          <w:szCs w:val="24"/>
          <w:rtl w:val="0"/>
          <w:lang w:val="pt-PT"/>
        </w:rPr>
        <w:t>a. Estudos culturais e antropol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pt-PT"/>
        </w:rPr>
        <w:t>gicos. Imagem, apar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 xml:space="preserve">ncia e poder. </w:t>
      </w:r>
      <w:r>
        <w:rPr>
          <w:sz w:val="24"/>
          <w:szCs w:val="24"/>
          <w:rtl w:val="0"/>
        </w:rPr>
        <w:t> </w:t>
      </w:r>
    </w:p>
    <w:p>
      <w:pPr>
        <w:pStyle w:val="Body"/>
        <w:shd w:val="clear" w:color="auto" w:fill="ffffff"/>
        <w:spacing w:after="0" w:line="240" w:lineRule="auto"/>
        <w:ind w:right="49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>GT6. Neg</w:t>
      </w:r>
      <w:r>
        <w:rPr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sz w:val="24"/>
          <w:szCs w:val="24"/>
          <w:rtl w:val="0"/>
          <w:lang w:val="pt-PT"/>
        </w:rPr>
        <w:t>cio, consumo e mercado:</w:t>
      </w:r>
      <w:r>
        <w:rPr>
          <w:b w:val="1"/>
          <w:bCs w:val="1"/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>Competitividade das organiza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es. Estrat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gias competitivas e din</w:t>
      </w:r>
      <w:r>
        <w:rPr>
          <w:sz w:val="24"/>
          <w:szCs w:val="24"/>
          <w:rtl w:val="0"/>
        </w:rPr>
        <w:t>â</w:t>
      </w:r>
      <w:r>
        <w:rPr>
          <w:sz w:val="24"/>
          <w:szCs w:val="24"/>
          <w:rtl w:val="0"/>
          <w:lang w:val="pt-PT"/>
        </w:rPr>
        <w:t>micas dos mercados. Intera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entre pessoas e empresas. Gest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es-ES_tradnl"/>
        </w:rPr>
        <w:t>o estrat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gica de pessoas. Gest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em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de.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>Cultura e clima organizacional. Tecnologias e formas de produ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o. Marketing digital em seus m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 xml:space="preserve">ltiplos usos; comercial ou voltada para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</w:rPr>
        <w:t>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>de. Estudos de casos emp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ricos, qualitativos e quantitativos. Inova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e empreendedorismo.</w:t>
      </w:r>
      <w:r>
        <w:rPr>
          <w:sz w:val="24"/>
          <w:szCs w:val="24"/>
          <w:rtl w:val="0"/>
        </w:rPr>
        <w:t xml:space="preserve">  </w:t>
      </w:r>
      <w:r>
        <w:rPr>
          <w:sz w:val="24"/>
          <w:szCs w:val="24"/>
          <w:rtl w:val="0"/>
          <w:lang w:val="pt-PT"/>
        </w:rPr>
        <w:t>Pesquisa de mercado. Planejamento de campanha. Planejamento de comunica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 xml:space="preserve">o. Campanha criativa. </w:t>
      </w:r>
    </w:p>
    <w:p>
      <w:pPr>
        <w:pStyle w:val="Body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GT7. Media</w:t>
      </w:r>
      <w:r>
        <w:rPr>
          <w:b w:val="1"/>
          <w:bCs w:val="1"/>
          <w:sz w:val="24"/>
          <w:szCs w:val="24"/>
          <w:rtl w:val="0"/>
          <w:lang w:val="pt-PT"/>
        </w:rPr>
        <w:t>çã</w:t>
      </w:r>
      <w:r>
        <w:rPr>
          <w:b w:val="1"/>
          <w:bCs w:val="1"/>
          <w:sz w:val="24"/>
          <w:szCs w:val="24"/>
          <w:rtl w:val="0"/>
          <w:lang w:val="pt-PT"/>
        </w:rPr>
        <w:t>o, justi</w:t>
      </w:r>
      <w:r>
        <w:rPr>
          <w:b w:val="1"/>
          <w:bCs w:val="1"/>
          <w:sz w:val="24"/>
          <w:szCs w:val="24"/>
          <w:rtl w:val="0"/>
        </w:rPr>
        <w:t>ç</w:t>
      </w:r>
      <w:r>
        <w:rPr>
          <w:b w:val="1"/>
          <w:bCs w:val="1"/>
          <w:sz w:val="24"/>
          <w:szCs w:val="24"/>
          <w:rtl w:val="0"/>
          <w:lang w:val="pt-PT"/>
        </w:rPr>
        <w:t>a e resolu</w:t>
      </w:r>
      <w:r>
        <w:rPr>
          <w:b w:val="1"/>
          <w:bCs w:val="1"/>
          <w:sz w:val="24"/>
          <w:szCs w:val="24"/>
          <w:rtl w:val="0"/>
          <w:lang w:val="pt-PT"/>
        </w:rPr>
        <w:t>çã</w:t>
      </w:r>
      <w:r>
        <w:rPr>
          <w:b w:val="1"/>
          <w:bCs w:val="1"/>
          <w:sz w:val="24"/>
          <w:szCs w:val="24"/>
          <w:rtl w:val="0"/>
          <w:lang w:val="pt-PT"/>
        </w:rPr>
        <w:t>o de conflitos:</w:t>
      </w:r>
      <w:r>
        <w:rPr>
          <w:b w:val="1"/>
          <w:bCs w:val="1"/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 xml:space="preserve">Dignidade da Pessoa Humana como base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</w:rPr>
        <w:t>Pol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it-IT"/>
        </w:rPr>
        <w:t>tica P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>blica para Pacifica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 xml:space="preserve">o Social. Sistema Pluriprocessual (Multiportas) de acesso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  <w:lang w:val="en-US"/>
        </w:rPr>
        <w:t>justi</w:t>
      </w:r>
      <w:r>
        <w:rPr>
          <w:sz w:val="24"/>
          <w:szCs w:val="24"/>
          <w:rtl w:val="0"/>
        </w:rPr>
        <w:t>ç</w:t>
      </w:r>
      <w:r>
        <w:rPr>
          <w:sz w:val="24"/>
          <w:szCs w:val="24"/>
          <w:rtl w:val="0"/>
        </w:rPr>
        <w:t>a. Interse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fr-FR"/>
        </w:rPr>
        <w:t>es pragm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ticas nos 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todos da autocomposi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e da heterocomposi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conflitos. Colabora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judicial e extrajudicial como princ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pio indutor ao protagonismo dos conflitantes e outros atores processuais. A realidade e a virtualiza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das rela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 intersubjetivas. Justi</w:t>
      </w:r>
      <w:r>
        <w:rPr>
          <w:sz w:val="24"/>
          <w:szCs w:val="24"/>
          <w:rtl w:val="0"/>
        </w:rPr>
        <w:t>ç</w:t>
      </w:r>
      <w:r>
        <w:rPr>
          <w:sz w:val="24"/>
          <w:szCs w:val="24"/>
          <w:rtl w:val="0"/>
          <w:lang w:val="pt-PT"/>
        </w:rPr>
        <w:t>a Restaurativa nas organiza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es. 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rculos Restaurativos e outras din</w:t>
      </w:r>
      <w:r>
        <w:rPr>
          <w:sz w:val="24"/>
          <w:szCs w:val="24"/>
          <w:rtl w:val="0"/>
        </w:rPr>
        <w:t>â</w:t>
      </w:r>
      <w:r>
        <w:rPr>
          <w:sz w:val="24"/>
          <w:szCs w:val="24"/>
          <w:rtl w:val="0"/>
          <w:lang w:val="pt-PT"/>
        </w:rPr>
        <w:t>micas</w:t>
      </w:r>
      <w:r>
        <w:rPr>
          <w:sz w:val="24"/>
          <w:szCs w:val="24"/>
          <w:rtl w:val="0"/>
        </w:rPr>
        <w:t> </w:t>
      </w:r>
      <w:r>
        <w:rPr>
          <w:i w:val="1"/>
          <w:iCs w:val="1"/>
          <w:sz w:val="24"/>
          <w:szCs w:val="24"/>
          <w:rtl w:val="0"/>
          <w:lang w:val="it-IT"/>
        </w:rPr>
        <w:t>on line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>de abordagem, preven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e resolu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conflitos.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Media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it-IT"/>
        </w:rPr>
        <w:t>o e concilia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 xml:space="preserve">o de conflitos na 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rea da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de.</w:t>
      </w:r>
    </w:p>
    <w:p>
      <w:pPr>
        <w:pStyle w:val="Body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>GT8. Democracia, justi</w:t>
      </w:r>
      <w:r>
        <w:rPr>
          <w:b w:val="1"/>
          <w:bCs w:val="1"/>
          <w:sz w:val="24"/>
          <w:szCs w:val="24"/>
          <w:rtl w:val="0"/>
        </w:rPr>
        <w:t>ç</w:t>
      </w:r>
      <w:r>
        <w:rPr>
          <w:b w:val="1"/>
          <w:bCs w:val="1"/>
          <w:sz w:val="24"/>
          <w:szCs w:val="24"/>
          <w:rtl w:val="0"/>
          <w:lang w:val="pt-PT"/>
        </w:rPr>
        <w:t>a e inova</w:t>
      </w:r>
      <w:r>
        <w:rPr>
          <w:b w:val="1"/>
          <w:bCs w:val="1"/>
          <w:sz w:val="24"/>
          <w:szCs w:val="24"/>
          <w:rtl w:val="0"/>
          <w:lang w:val="pt-PT"/>
        </w:rPr>
        <w:t>çõ</w:t>
      </w:r>
      <w:r>
        <w:rPr>
          <w:b w:val="1"/>
          <w:bCs w:val="1"/>
          <w:sz w:val="24"/>
          <w:szCs w:val="24"/>
          <w:rtl w:val="0"/>
          <w:lang w:val="en-US"/>
        </w:rPr>
        <w:t>es:</w:t>
      </w:r>
      <w:r>
        <w:rPr>
          <w:b w:val="1"/>
          <w:bCs w:val="1"/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>Constitucionaliza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dos Direitos. Regulamenta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 do poder. Press</w:t>
      </w:r>
      <w:r>
        <w:rPr>
          <w:sz w:val="24"/>
          <w:szCs w:val="24"/>
          <w:rtl w:val="0"/>
          <w:lang w:val="pt-PT"/>
        </w:rPr>
        <w:t>õ</w:t>
      </w:r>
      <w:r>
        <w:rPr>
          <w:sz w:val="24"/>
          <w:szCs w:val="24"/>
          <w:rtl w:val="0"/>
          <w:lang w:val="pt-PT"/>
        </w:rPr>
        <w:t>es econ</w:t>
      </w:r>
      <w:r>
        <w:rPr>
          <w:sz w:val="24"/>
          <w:szCs w:val="24"/>
          <w:rtl w:val="0"/>
        </w:rPr>
        <w:t>ô</w:t>
      </w:r>
      <w:r>
        <w:rPr>
          <w:sz w:val="24"/>
          <w:szCs w:val="24"/>
          <w:rtl w:val="0"/>
          <w:lang w:val="pt-PT"/>
        </w:rPr>
        <w:t>micas e sua rela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com a legisla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it-IT"/>
        </w:rPr>
        <w:t>o. Tend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>ncias pol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ticas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>nacionais e internacionais. Populismo pol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tico e reformas legais. Inova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it-IT"/>
        </w:rPr>
        <w:t>es tecnol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pt-PT"/>
        </w:rPr>
        <w:t>gicas. Minera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dados.</w:t>
      </w:r>
      <w:r>
        <w:rPr>
          <w:sz w:val="24"/>
          <w:szCs w:val="24"/>
          <w:rtl w:val="0"/>
        </w:rPr>
        <w:t> </w:t>
      </w:r>
      <w:r>
        <w:rPr>
          <w:i w:val="1"/>
          <w:iCs w:val="1"/>
          <w:sz w:val="24"/>
          <w:szCs w:val="24"/>
          <w:rtl w:val="0"/>
          <w:lang w:val="nl-NL"/>
        </w:rPr>
        <w:t>Big data</w:t>
      </w:r>
      <w:r>
        <w:rPr>
          <w:i w:val="1"/>
          <w:iCs w:val="1"/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>e suas consequ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>ncias jur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dicas.</w:t>
      </w:r>
      <w:r>
        <w:rPr>
          <w:sz w:val="24"/>
          <w:szCs w:val="24"/>
          <w:rtl w:val="0"/>
        </w:rPr>
        <w:t> </w:t>
      </w:r>
      <w:r>
        <w:rPr>
          <w:i w:val="1"/>
          <w:iCs w:val="1"/>
          <w:sz w:val="24"/>
          <w:szCs w:val="24"/>
          <w:rtl w:val="0"/>
          <w:lang w:val="en-US"/>
        </w:rPr>
        <w:t>Fake news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>e elei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 xml:space="preserve">es. </w:t>
      </w:r>
      <w:r>
        <w:rPr>
          <w:i w:val="1"/>
          <w:iCs w:val="1"/>
          <w:sz w:val="24"/>
          <w:szCs w:val="24"/>
          <w:rtl w:val="0"/>
          <w:lang w:val="en-US"/>
        </w:rPr>
        <w:t>Fake News</w:t>
      </w:r>
      <w:r>
        <w:rPr>
          <w:sz w:val="24"/>
          <w:szCs w:val="24"/>
          <w:rtl w:val="0"/>
          <w:lang w:val="it-IT"/>
        </w:rPr>
        <w:t xml:space="preserve"> e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 xml:space="preserve">de. Discurso de 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it-IT"/>
        </w:rPr>
        <w:t>dio. Prote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das minorias e do meio ambiente. Racismo, movimentos sociais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>e a estabilidade democr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it-IT"/>
        </w:rPr>
        <w:t>tica.</w:t>
      </w:r>
      <w:r>
        <w:rPr>
          <w:sz w:val="24"/>
          <w:szCs w:val="24"/>
          <w:rtl w:val="0"/>
        </w:rPr>
        <w:t>  </w:t>
      </w:r>
      <w:r>
        <w:rPr>
          <w:sz w:val="24"/>
          <w:szCs w:val="24"/>
          <w:rtl w:val="0"/>
          <w:lang w:val="pt-PT"/>
        </w:rPr>
        <w:t>Legisla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em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de.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>Responsabilidade socioambiental em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de.</w:t>
      </w:r>
    </w:p>
    <w:p>
      <w:pPr>
        <w:pStyle w:val="Body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shd w:val="clear" w:color="auto" w:fill="ffffff"/>
          <w:rtl w:val="0"/>
          <w:lang w:val="pt-PT"/>
        </w:rPr>
        <w:t>GT9. Sa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ú</w:t>
      </w:r>
      <w:r>
        <w:rPr>
          <w:b w:val="1"/>
          <w:bCs w:val="1"/>
          <w:sz w:val="24"/>
          <w:szCs w:val="24"/>
          <w:shd w:val="clear" w:color="auto" w:fill="ffffff"/>
          <w:rtl w:val="0"/>
          <w:lang w:val="pt-PT"/>
        </w:rPr>
        <w:t>de coletiva, sa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ú</w:t>
      </w:r>
      <w:r>
        <w:rPr>
          <w:b w:val="1"/>
          <w:bCs w:val="1"/>
          <w:sz w:val="24"/>
          <w:szCs w:val="24"/>
          <w:shd w:val="clear" w:color="auto" w:fill="ffffff"/>
          <w:rtl w:val="0"/>
          <w:lang w:val="pt-PT"/>
        </w:rPr>
        <w:t>de mental e m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í</w:t>
      </w:r>
      <w:r>
        <w:rPr>
          <w:b w:val="1"/>
          <w:bCs w:val="1"/>
          <w:sz w:val="24"/>
          <w:szCs w:val="24"/>
          <w:shd w:val="clear" w:color="auto" w:fill="ffffff"/>
          <w:rtl w:val="0"/>
          <w:lang w:val="it-IT"/>
        </w:rPr>
        <w:t>dia:</w:t>
      </w:r>
      <w:r>
        <w:rPr>
          <w:b w:val="1"/>
          <w:bCs w:val="1"/>
          <w:sz w:val="24"/>
          <w:szCs w:val="24"/>
          <w:shd w:val="clear" w:color="auto" w:fill="ffffff"/>
          <w:rtl w:val="0"/>
        </w:rPr>
        <w:t> </w:t>
      </w:r>
      <w:r>
        <w:rPr>
          <w:sz w:val="24"/>
          <w:szCs w:val="24"/>
          <w:shd w:val="clear" w:color="auto" w:fill="ffffff"/>
          <w:rtl w:val="0"/>
        </w:rPr>
        <w:t> </w:t>
      </w:r>
      <w:r>
        <w:rPr>
          <w:sz w:val="24"/>
          <w:szCs w:val="24"/>
          <w:rtl w:val="0"/>
        </w:rPr>
        <w:t>Aten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prim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it-IT"/>
        </w:rPr>
        <w:t xml:space="preserve">ria </w:t>
      </w:r>
      <w:r>
        <w:rPr>
          <w:sz w:val="24"/>
          <w:szCs w:val="24"/>
          <w:rtl w:val="0"/>
        </w:rPr>
        <w:t xml:space="preserve">à </w:t>
      </w:r>
      <w:r>
        <w:rPr>
          <w:sz w:val="24"/>
          <w:szCs w:val="24"/>
          <w:rtl w:val="0"/>
        </w:rPr>
        <w:t>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>de. Coberturas midi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ticas e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>de. O papel da 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dia na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>de mental.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>de baseada em evid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>ncias.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de p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>blica.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en-US"/>
        </w:rPr>
        <w:t>Redu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danos. Pandemias. Pacientes com necessidades especiais. Comunica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it-IT"/>
        </w:rPr>
        <w:t>o, inclus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e acessibilidade.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de oral.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>Cuidados integrais.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>de: infantil/ do adolescente/ do idoso/ da gestante.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>Primeiros socorros.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Urg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>ncias e emerg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>ncias em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>de. Neuroci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>ncia.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pt-PT"/>
        </w:rPr>
        <w:t>Tratamentos complementares.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de-DE"/>
        </w:rPr>
        <w:t>Nutri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it-IT"/>
        </w:rPr>
        <w:t>o e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de.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>de mental entre os adolescentes.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>de Mental e envelhecimento.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  <w:lang w:val="pt-PT"/>
        </w:rPr>
        <w:t>de e bem-estar do profissional de sa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de.</w:t>
      </w:r>
      <w:r>
        <w:rPr>
          <w:sz w:val="24"/>
          <w:szCs w:val="24"/>
          <w:rtl w:val="0"/>
        </w:rPr>
        <w:t> </w:t>
      </w:r>
    </w:p>
    <w:p>
      <w:pPr>
        <w:pStyle w:val="Body"/>
        <w:shd w:val="clear" w:color="auto" w:fill="ffffff"/>
        <w:spacing w:after="0" w:line="240" w:lineRule="auto"/>
        <w:jc w:val="both"/>
        <w:rPr>
          <w:b w:val="1"/>
          <w:bCs w:val="1"/>
          <w:sz w:val="24"/>
          <w:szCs w:val="24"/>
          <w:shd w:val="clear" w:color="auto" w:fill="ffffff"/>
        </w:rPr>
      </w:pPr>
    </w:p>
    <w:p>
      <w:pPr>
        <w:pStyle w:val="Body"/>
        <w:spacing w:after="0" w:line="240" w:lineRule="auto"/>
        <w:jc w:val="both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3. MODALIDADES</w:t>
      </w:r>
    </w:p>
    <w:p>
      <w:pPr>
        <w:pStyle w:val="Body"/>
        <w:spacing w:after="0" w:line="240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3.1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Ser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aceitas propostas nas seguintes modalidades: </w:t>
      </w:r>
    </w:p>
    <w:p>
      <w:pPr>
        <w:pStyle w:val="Body"/>
        <w:spacing w:after="0" w:line="240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3.1.1 Comunica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o Oral: 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correspondente a trabalhos de Inicia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Cient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fica e outras atividades de pesquisa desenvolvidas em disciplinas cursadas pelo proponente;</w:t>
      </w:r>
    </w:p>
    <w:p>
      <w:pPr>
        <w:pStyle w:val="Body"/>
        <w:spacing w:after="0" w:line="240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3.1.2 Relato de Experi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ncia: 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correspondentes a experi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ncias de cunho pr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tico e te</w:t>
      </w:r>
      <w:r>
        <w:rPr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rico de pesquisas midi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ticas e art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sticas desenvolvidas em atividades/projetos de extens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o, Grupos de Estudos, assim como outras atividades desenvolvidas em disciplinas cursadas pelo proponente;</w:t>
      </w:r>
    </w:p>
    <w:p>
      <w:pPr>
        <w:pStyle w:val="Body"/>
        <w:spacing w:after="0" w:line="240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3.1.3 Pesquisa desenvolvidas por docentes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: correspondentes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produ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intelectual desenvolvida por professores especialistas, mestres e doutores, nas suas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reas de pesquisa e atua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profissional; </w:t>
      </w:r>
    </w:p>
    <w:p>
      <w:pPr>
        <w:pStyle w:val="Body"/>
        <w:spacing w:after="0" w:line="240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3.1.4 Trabalho de Conclus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de Cursos (TCC): 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finalizados ou em andamento. </w:t>
      </w:r>
    </w:p>
    <w:p>
      <w:pPr>
        <w:pStyle w:val="Body"/>
        <w:spacing w:after="0" w:line="240" w:lineRule="auto"/>
        <w:jc w:val="both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4. REGRAS PARA SUBMISS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Ã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 DOS RESUMOS EXPANDIDOS</w:t>
      </w:r>
    </w:p>
    <w:p>
      <w:pPr>
        <w:pStyle w:val="Body"/>
        <w:widowControl w:val="0"/>
        <w:spacing w:after="0" w:line="240" w:lineRule="auto"/>
        <w:jc w:val="both"/>
        <w:rPr>
          <w:rStyle w:val="None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4.1</w:t>
      </w:r>
      <w:r>
        <w:rPr>
          <w:sz w:val="24"/>
          <w:szCs w:val="24"/>
          <w:rtl w:val="0"/>
          <w:lang w:val="pt-PT"/>
        </w:rPr>
        <w:t xml:space="preserve"> O resumo expandido dever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  <w:lang w:val="pt-PT"/>
        </w:rPr>
        <w:t>ser enviado por formul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it-IT"/>
        </w:rPr>
        <w:t>rio, dispon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 xml:space="preserve">vel em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"https://forms.gle/5GHUA3VTXWWRtWCEA"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>https://forms.gle/5GHUA3VTXWWRtWCEA</w:t>
      </w:r>
      <w:r>
        <w:rPr/>
        <w:fldChar w:fldCharType="end" w:fldLock="0"/>
      </w:r>
      <w:r>
        <w:rPr>
          <w:rStyle w:val="None"/>
          <w:sz w:val="24"/>
          <w:szCs w:val="24"/>
          <w:rtl w:val="0"/>
          <w:lang w:val="pt-PT"/>
        </w:rPr>
        <w:t>, onde dever</w:t>
      </w:r>
      <w:r>
        <w:rPr>
          <w:rStyle w:val="None"/>
          <w:sz w:val="24"/>
          <w:szCs w:val="24"/>
          <w:rtl w:val="0"/>
          <w:lang w:val="pt-PT"/>
        </w:rPr>
        <w:t>ã</w:t>
      </w:r>
      <w:r>
        <w:rPr>
          <w:rStyle w:val="None"/>
          <w:sz w:val="24"/>
          <w:szCs w:val="24"/>
          <w:rtl w:val="0"/>
          <w:lang w:val="pt-PT"/>
        </w:rPr>
        <w:t xml:space="preserve">o ser anexados em </w:t>
      </w:r>
      <w:r>
        <w:rPr>
          <w:rStyle w:val="None"/>
          <w:i w:val="1"/>
          <w:iCs w:val="1"/>
          <w:sz w:val="24"/>
          <w:szCs w:val="24"/>
          <w:rtl w:val="0"/>
          <w:lang w:val="nl-NL"/>
        </w:rPr>
        <w:t>word s</w:t>
      </w:r>
      <w:r>
        <w:rPr>
          <w:rStyle w:val="None"/>
          <w:sz w:val="24"/>
          <w:szCs w:val="24"/>
          <w:rtl w:val="0"/>
          <w:lang w:val="pt-PT"/>
        </w:rPr>
        <w:t xml:space="preserve">eguindo, obrigatoriamente, o modelo do </w:t>
      </w:r>
      <w:r>
        <w:rPr>
          <w:rStyle w:val="None"/>
          <w:i w:val="1"/>
          <w:iCs w:val="1"/>
          <w:sz w:val="24"/>
          <w:szCs w:val="24"/>
          <w:rtl w:val="0"/>
        </w:rPr>
        <w:t>template</w:t>
      </w:r>
      <w:r>
        <w:rPr>
          <w:rStyle w:val="None"/>
          <w:sz w:val="24"/>
          <w:szCs w:val="24"/>
          <w:rtl w:val="0"/>
          <w:lang w:val="pt-PT"/>
        </w:rPr>
        <w:t>, dispon</w:t>
      </w:r>
      <w:r>
        <w:rPr>
          <w:rStyle w:val="None"/>
          <w:sz w:val="24"/>
          <w:szCs w:val="24"/>
          <w:rtl w:val="0"/>
        </w:rPr>
        <w:t>í</w:t>
      </w:r>
      <w:r>
        <w:rPr>
          <w:rStyle w:val="None"/>
          <w:sz w:val="24"/>
          <w:szCs w:val="24"/>
          <w:rtl w:val="0"/>
          <w:lang w:val="pt-PT"/>
        </w:rPr>
        <w:t>veis no mesmo link;</w:t>
      </w:r>
    </w:p>
    <w:p>
      <w:pPr>
        <w:pStyle w:val="Body"/>
        <w:widowControl w:val="0"/>
        <w:spacing w:after="0" w:line="240" w:lineRule="auto"/>
        <w:jc w:val="both"/>
        <w:rPr>
          <w:rStyle w:val="None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</w:rPr>
        <w:t>4.2</w:t>
      </w:r>
      <w:r>
        <w:rPr>
          <w:rStyle w:val="None"/>
          <w:sz w:val="24"/>
          <w:szCs w:val="24"/>
          <w:rtl w:val="0"/>
          <w:lang w:val="pt-PT"/>
        </w:rPr>
        <w:t xml:space="preserve"> O nome do arquivo em </w:t>
      </w:r>
      <w:r>
        <w:rPr>
          <w:rStyle w:val="None"/>
          <w:i w:val="1"/>
          <w:iCs w:val="1"/>
          <w:sz w:val="24"/>
          <w:szCs w:val="24"/>
          <w:rtl w:val="0"/>
          <w:lang w:val="nl-NL"/>
        </w:rPr>
        <w:t>word</w:t>
      </w:r>
      <w:r>
        <w:rPr>
          <w:rStyle w:val="None"/>
          <w:sz w:val="24"/>
          <w:szCs w:val="24"/>
          <w:rtl w:val="0"/>
          <w:lang w:val="pt-PT"/>
        </w:rPr>
        <w:t xml:space="preserve"> a ser anexado deve indicar o GT escolhido, a modalidade, seguindo do nome e do sobrenome do(a) autor(a), separados por </w:t>
      </w:r>
      <w:r>
        <w:rPr>
          <w:rStyle w:val="None"/>
          <w:i w:val="1"/>
          <w:iCs w:val="1"/>
          <w:sz w:val="24"/>
          <w:szCs w:val="24"/>
          <w:rtl w:val="0"/>
          <w:lang w:val="de-DE"/>
        </w:rPr>
        <w:t>underline</w:t>
      </w:r>
      <w:r>
        <w:rPr>
          <w:rStyle w:val="None"/>
          <w:sz w:val="24"/>
          <w:szCs w:val="24"/>
          <w:rtl w:val="1"/>
          <w:lang w:val="ar-SA" w:bidi="ar-SA"/>
        </w:rPr>
        <w:t xml:space="preserve"> “</w:t>
      </w:r>
      <w:r>
        <w:rPr>
          <w:rStyle w:val="None"/>
          <w:sz w:val="24"/>
          <w:szCs w:val="24"/>
          <w:rtl w:val="0"/>
          <w:lang w:val="en-US"/>
        </w:rPr>
        <w:t>_</w:t>
      </w:r>
      <w:r>
        <w:rPr>
          <w:rStyle w:val="None"/>
          <w:sz w:val="24"/>
          <w:szCs w:val="24"/>
          <w:rtl w:val="0"/>
        </w:rPr>
        <w:t>”</w:t>
      </w:r>
      <w:r>
        <w:rPr>
          <w:rStyle w:val="None"/>
          <w:sz w:val="24"/>
          <w:szCs w:val="24"/>
          <w:rtl w:val="0"/>
        </w:rPr>
        <w:t>.</w:t>
      </w:r>
    </w:p>
    <w:p>
      <w:pPr>
        <w:pStyle w:val="Body"/>
        <w:widowControl w:val="0"/>
        <w:spacing w:after="0" w:line="240" w:lineRule="auto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s-ES_tradnl"/>
        </w:rPr>
        <w:t>Ex.: GT1_COMUNICA</w:t>
      </w:r>
      <w:r>
        <w:rPr>
          <w:rStyle w:val="None"/>
          <w:sz w:val="24"/>
          <w:szCs w:val="24"/>
          <w:rtl w:val="0"/>
        </w:rPr>
        <w:t>ÇÃ</w:t>
      </w:r>
      <w:r>
        <w:rPr>
          <w:rStyle w:val="None"/>
          <w:sz w:val="24"/>
          <w:szCs w:val="24"/>
          <w:rtl w:val="0"/>
          <w:lang w:val="en-US"/>
        </w:rPr>
        <w:t>OORAL_CarolinaSouza</w:t>
      </w:r>
    </w:p>
    <w:p>
      <w:pPr>
        <w:pStyle w:val="Body"/>
        <w:widowControl w:val="0"/>
        <w:spacing w:after="0" w:line="240" w:lineRule="auto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pt-PT"/>
        </w:rPr>
        <w:t>Ex.: GT2_RELATO_DiogoFerreira</w:t>
      </w:r>
    </w:p>
    <w:p>
      <w:pPr>
        <w:pStyle w:val="Body"/>
        <w:widowControl w:val="0"/>
        <w:spacing w:after="0" w:line="240" w:lineRule="auto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pt-PT"/>
        </w:rPr>
        <w:t>Ex.: GT3_PESQUISADOCENTE_AndreGomes</w:t>
      </w:r>
    </w:p>
    <w:p>
      <w:pPr>
        <w:pStyle w:val="Body"/>
        <w:widowControl w:val="0"/>
        <w:spacing w:after="0" w:line="240" w:lineRule="auto"/>
        <w:jc w:val="both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pt-PT"/>
        </w:rPr>
        <w:t>Ex.: GT4_TCC_MarianaCardoso</w:t>
      </w:r>
    </w:p>
    <w:p>
      <w:pPr>
        <w:pStyle w:val="Body"/>
        <w:spacing w:after="0" w:line="240" w:lineRule="auto"/>
        <w:jc w:val="both"/>
        <w:rPr>
          <w:rStyle w:val="Non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4.3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Cada autor(a) poder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inscrever/apresentar at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02 (dois) resumos, incluindo aqueles em coautoria; </w:t>
      </w:r>
    </w:p>
    <w:p>
      <w:pPr>
        <w:pStyle w:val="Body"/>
        <w:spacing w:after="0" w:line="240" w:lineRule="auto"/>
        <w:jc w:val="both"/>
        <w:rPr>
          <w:rStyle w:val="Non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4.4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trabalho poder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ter coautoria de no m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ximo cinco pessoas;</w:t>
      </w:r>
    </w:p>
    <w:p>
      <w:pPr>
        <w:pStyle w:val="Body"/>
        <w:spacing w:after="0" w:line="240" w:lineRule="auto"/>
        <w:jc w:val="both"/>
        <w:rPr>
          <w:rStyle w:val="None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</w:rPr>
        <w:t>4.5</w:t>
      </w:r>
      <w:r>
        <w:rPr>
          <w:rStyle w:val="None"/>
          <w:sz w:val="24"/>
          <w:szCs w:val="24"/>
          <w:rtl w:val="0"/>
          <w:lang w:val="pt-PT"/>
        </w:rPr>
        <w:t xml:space="preserve"> Apenas um dos autores deve enviar o trabalho mencionando todos os coautores;</w:t>
      </w:r>
    </w:p>
    <w:p>
      <w:pPr>
        <w:pStyle w:val="Body"/>
        <w:spacing w:after="0" w:line="240" w:lineRule="auto"/>
        <w:jc w:val="both"/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4.6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Havendo professor(a) orientador(a) da pesquisa, seu nome deve estar presente em nota de rodap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no resumo expandido das pesquisas;</w:t>
      </w:r>
    </w:p>
    <w:p>
      <w:pPr>
        <w:pStyle w:val="Body"/>
        <w:spacing w:after="0" w:line="240" w:lineRule="auto"/>
        <w:jc w:val="both"/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4.7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o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permitido o uso de aplicativos de intelig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ncia artificial (IA) para escrita dos resumos expandidos e dos trabalhos finais.  As ferramentas de IA n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podem cumprir os requisitos de autoria, pois n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podem assumir a responsabilidade pelo trabalho submetido. A IA n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deve, em hip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tese alguma, substituir tarefas essenciais de autoria, portanto s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os(as) autores(as) respons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veis por todo o conte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do submetido.</w:t>
      </w: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 </w:t>
      </w:r>
    </w:p>
    <w:p>
      <w:pPr>
        <w:pStyle w:val="Body"/>
        <w:spacing w:after="0" w:line="240" w:lineRule="auto"/>
        <w:jc w:val="both"/>
        <w:rPr>
          <w:rStyle w:val="Non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Style w:val="Non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5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REGRAS PARA OS TRABALHOS FINAIS </w:t>
      </w:r>
    </w:p>
    <w:p>
      <w:pPr>
        <w:pStyle w:val="Body"/>
        <w:widowControl w:val="0"/>
        <w:spacing w:after="0" w:line="240" w:lineRule="auto"/>
        <w:jc w:val="both"/>
        <w:rPr>
          <w:rStyle w:val="None"/>
          <w:b w:val="1"/>
          <w:bCs w:val="1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</w:rPr>
        <w:t xml:space="preserve">5.1 </w:t>
      </w:r>
      <w:r>
        <w:rPr>
          <w:rStyle w:val="None"/>
          <w:sz w:val="24"/>
          <w:szCs w:val="24"/>
          <w:rtl w:val="0"/>
          <w:lang w:val="pt-PT"/>
        </w:rPr>
        <w:t>Unicamente para pesquisadores com trabalhos aprovados e apresentados no IX Devir, em qualquer uma das modalidades;</w:t>
      </w:r>
    </w:p>
    <w:p>
      <w:pPr>
        <w:pStyle w:val="Body"/>
        <w:spacing w:after="0" w:line="240" w:lineRule="auto"/>
        <w:jc w:val="both"/>
        <w:rPr>
          <w:rStyle w:val="Non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5.2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Os trabalhos finais devem ser enviados para publica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a</w:t>
      </w:r>
      <w:r>
        <w:rPr>
          <w:rStyle w:val="None"/>
          <w:sz w:val="24"/>
          <w:szCs w:val="24"/>
          <w:rtl w:val="0"/>
        </w:rPr>
        <w:t>t</w:t>
      </w:r>
      <w:r>
        <w:rPr>
          <w:rStyle w:val="None"/>
          <w:sz w:val="24"/>
          <w:szCs w:val="24"/>
          <w:rtl w:val="0"/>
          <w:lang w:val="fr-FR"/>
        </w:rPr>
        <w:t xml:space="preserve">é </w:t>
      </w:r>
      <w:r>
        <w:rPr>
          <w:rStyle w:val="None"/>
          <w:b w:val="1"/>
          <w:bCs w:val="1"/>
          <w:sz w:val="24"/>
          <w:szCs w:val="24"/>
          <w:rtl w:val="0"/>
          <w:lang w:val="pt-PT"/>
        </w:rPr>
        <w:t xml:space="preserve">30 de junho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via formul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rio obrigatoriamente, o </w:t>
      </w:r>
      <w:r>
        <w:rPr>
          <w:rStyle w:val="None"/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template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dispon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vel em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"https://forms.gle/5GHUA3VTXWWRtWCEA"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>https://forms.gle/5GHUA3VTXWWRtWCEA</w:t>
      </w:r>
      <w:r>
        <w:rPr/>
        <w:fldChar w:fldCharType="end" w:fldLock="0"/>
      </w:r>
      <w:r>
        <w:rPr>
          <w:rStyle w:val="None"/>
          <w:sz w:val="24"/>
          <w:szCs w:val="24"/>
          <w:rtl w:val="0"/>
        </w:rPr>
        <w:t>.</w:t>
      </w:r>
    </w:p>
    <w:p>
      <w:pPr>
        <w:pStyle w:val="Body"/>
        <w:widowControl w:val="0"/>
        <w:spacing w:after="0" w:line="240" w:lineRule="auto"/>
        <w:jc w:val="both"/>
        <w:rPr>
          <w:rStyle w:val="None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</w:rPr>
        <w:t>5.3</w:t>
      </w:r>
      <w:r>
        <w:rPr>
          <w:rStyle w:val="None"/>
          <w:sz w:val="24"/>
          <w:szCs w:val="24"/>
          <w:rtl w:val="0"/>
          <w:lang w:val="pt-PT"/>
        </w:rPr>
        <w:t xml:space="preserve"> O texto submetido deve ser produto de autoria intelectual pr</w:t>
      </w:r>
      <w:r>
        <w:rPr>
          <w:rStyle w:val="None"/>
          <w:sz w:val="24"/>
          <w:szCs w:val="24"/>
          <w:rtl w:val="0"/>
          <w:lang w:val="es-ES_tradnl"/>
        </w:rPr>
        <w:t>ó</w:t>
      </w:r>
      <w:r>
        <w:rPr>
          <w:rStyle w:val="None"/>
          <w:sz w:val="24"/>
          <w:szCs w:val="24"/>
          <w:rtl w:val="0"/>
          <w:lang w:val="pt-PT"/>
        </w:rPr>
        <w:t>pria. O(a) autor(a) deve se comprometer a identificar devidamente todos os dados e refer</w:t>
      </w:r>
      <w:r>
        <w:rPr>
          <w:rStyle w:val="None"/>
          <w:sz w:val="24"/>
          <w:szCs w:val="24"/>
          <w:rtl w:val="0"/>
        </w:rPr>
        <w:t>ê</w:t>
      </w:r>
      <w:r>
        <w:rPr>
          <w:rStyle w:val="None"/>
          <w:sz w:val="24"/>
          <w:szCs w:val="24"/>
          <w:rtl w:val="0"/>
          <w:lang w:val="pt-PT"/>
        </w:rPr>
        <w:t>ncias, com os respectivos cr</w:t>
      </w:r>
      <w:r>
        <w:rPr>
          <w:rStyle w:val="None"/>
          <w:sz w:val="24"/>
          <w:szCs w:val="24"/>
          <w:rtl w:val="0"/>
          <w:lang w:val="fr-FR"/>
        </w:rPr>
        <w:t>é</w:t>
      </w:r>
      <w:r>
        <w:rPr>
          <w:rStyle w:val="None"/>
          <w:sz w:val="24"/>
          <w:szCs w:val="24"/>
          <w:rtl w:val="0"/>
          <w:lang w:val="pt-PT"/>
        </w:rPr>
        <w:t>ditos necess</w:t>
      </w:r>
      <w:r>
        <w:rPr>
          <w:rStyle w:val="None"/>
          <w:sz w:val="24"/>
          <w:szCs w:val="24"/>
          <w:rtl w:val="0"/>
        </w:rPr>
        <w:t>á</w:t>
      </w:r>
      <w:r>
        <w:rPr>
          <w:rStyle w:val="None"/>
          <w:sz w:val="24"/>
          <w:szCs w:val="24"/>
          <w:rtl w:val="0"/>
          <w:lang w:val="pt-PT"/>
        </w:rPr>
        <w:t>rios. O ato de submiss</w:t>
      </w:r>
      <w:r>
        <w:rPr>
          <w:rStyle w:val="None"/>
          <w:sz w:val="24"/>
          <w:szCs w:val="24"/>
          <w:rtl w:val="0"/>
          <w:lang w:val="pt-PT"/>
        </w:rPr>
        <w:t>ã</w:t>
      </w:r>
      <w:r>
        <w:rPr>
          <w:rStyle w:val="None"/>
          <w:sz w:val="24"/>
          <w:szCs w:val="24"/>
          <w:rtl w:val="0"/>
          <w:lang w:val="pt-PT"/>
        </w:rPr>
        <w:t>o implica declarar que os materiais apresentados est</w:t>
      </w:r>
      <w:r>
        <w:rPr>
          <w:rStyle w:val="None"/>
          <w:sz w:val="24"/>
          <w:szCs w:val="24"/>
          <w:rtl w:val="0"/>
          <w:lang w:val="pt-PT"/>
        </w:rPr>
        <w:t>ã</w:t>
      </w:r>
      <w:r>
        <w:rPr>
          <w:rStyle w:val="None"/>
          <w:sz w:val="24"/>
          <w:szCs w:val="24"/>
          <w:rtl w:val="0"/>
          <w:lang w:val="pt-PT"/>
        </w:rPr>
        <w:t>o totalmente livres de direitos de autor e, portanto, se responsabilizar por qualquer lit</w:t>
      </w:r>
      <w:r>
        <w:rPr>
          <w:rStyle w:val="None"/>
          <w:sz w:val="24"/>
          <w:szCs w:val="24"/>
          <w:rtl w:val="0"/>
        </w:rPr>
        <w:t>í</w:t>
      </w:r>
      <w:r>
        <w:rPr>
          <w:rStyle w:val="None"/>
          <w:sz w:val="24"/>
          <w:szCs w:val="24"/>
          <w:rtl w:val="0"/>
          <w:lang w:val="pt-PT"/>
        </w:rPr>
        <w:t>gio judicial de qualquer ordem ou reclama</w:t>
      </w:r>
      <w:r>
        <w:rPr>
          <w:rStyle w:val="None"/>
          <w:sz w:val="24"/>
          <w:szCs w:val="24"/>
          <w:rtl w:val="0"/>
          <w:lang w:val="pt-PT"/>
        </w:rPr>
        <w:t>çã</w:t>
      </w:r>
      <w:r>
        <w:rPr>
          <w:rStyle w:val="None"/>
          <w:sz w:val="24"/>
          <w:szCs w:val="24"/>
          <w:rtl w:val="0"/>
          <w:lang w:val="pt-PT"/>
        </w:rPr>
        <w:t>o relacionados com direitos de propriedade intelectual, exonerando de toda responsabilidade o Centro Universit</w:t>
      </w:r>
      <w:r>
        <w:rPr>
          <w:rStyle w:val="None"/>
          <w:sz w:val="24"/>
          <w:szCs w:val="24"/>
          <w:rtl w:val="0"/>
        </w:rPr>
        <w:t>á</w:t>
      </w:r>
      <w:r>
        <w:rPr>
          <w:rStyle w:val="None"/>
          <w:sz w:val="24"/>
          <w:szCs w:val="24"/>
          <w:rtl w:val="0"/>
          <w:lang w:val="pt-PT"/>
        </w:rPr>
        <w:t>rio AESO Barros Melo - UNIAESO, as revistas e os editores da mesma.</w:t>
      </w:r>
    </w:p>
    <w:p>
      <w:pPr>
        <w:pStyle w:val="Body"/>
        <w:spacing w:after="0" w:line="240" w:lineRule="auto"/>
        <w:jc w:val="both"/>
        <w:rPr>
          <w:rStyle w:val="None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6. PUBLICA</w:t>
      </w: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ÇÕ</w:t>
      </w: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</w:t>
      </w:r>
    </w:p>
    <w:p>
      <w:pPr>
        <w:pStyle w:val="Body"/>
        <w:spacing w:after="0" w:line="240" w:lineRule="auto"/>
        <w:jc w:val="both"/>
        <w:rPr>
          <w:rStyle w:val="Non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6.1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Os trabalhos finais recebidos ser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analisados e selecionados pelos conselhos editoriais das revistas acad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micas </w:t>
      </w:r>
      <w:r>
        <w:rPr>
          <w:rStyle w:val="None"/>
          <w:sz w:val="24"/>
          <w:szCs w:val="24"/>
          <w:rtl w:val="0"/>
        </w:rPr>
        <w:t>da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sz w:val="24"/>
          <w:szCs w:val="24"/>
          <w:rtl w:val="0"/>
          <w:lang w:val="pt-PT"/>
        </w:rPr>
        <w:t>UNIAESO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;  </w:t>
      </w:r>
    </w:p>
    <w:p>
      <w:pPr>
        <w:pStyle w:val="Body"/>
        <w:spacing w:after="0" w:line="240" w:lineRule="auto"/>
        <w:jc w:val="both"/>
        <w:rPr>
          <w:rStyle w:val="Non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6.2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Apenas os trabalhos aprovados e apresentados ser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publicados.</w:t>
      </w:r>
      <w:r>
        <w:rPr>
          <w:rStyle w:val="None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Body"/>
        <w:spacing w:after="0" w:line="240" w:lineRule="auto"/>
        <w:jc w:val="both"/>
        <w:rPr>
          <w:rStyle w:val="Non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Style w:val="None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7. ALUNOS COLABORADORES</w:t>
      </w:r>
    </w:p>
    <w:p>
      <w:pPr>
        <w:pStyle w:val="Body"/>
        <w:spacing w:after="0" w:line="240" w:lineRule="auto"/>
        <w:jc w:val="both"/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7.1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Selecionaremos estudantes do UNIAESO, mediante entrevista, para colaborarem com a realiza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 do evento; </w:t>
      </w:r>
    </w:p>
    <w:p>
      <w:pPr>
        <w:pStyle w:val="Body"/>
        <w:spacing w:after="0" w:line="240" w:lineRule="auto"/>
        <w:jc w:val="both"/>
        <w:rPr>
          <w:rStyle w:val="Non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7.2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Estudantes interessados em atuar como colaboradores do IX Devir devem indicar interesse no ato da inscri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o, em campo pr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prio do formul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rio, assim como dispor de 15 horas, durante o per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odo de organiza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e realiza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do evento;</w:t>
      </w:r>
    </w:p>
    <w:p>
      <w:pPr>
        <w:pStyle w:val="Body"/>
        <w:spacing w:after="0" w:line="240" w:lineRule="auto"/>
        <w:jc w:val="both"/>
        <w:rPr>
          <w:rStyle w:val="Non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7.3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Os estudantes colaboradores do IX Devir, cumprindo as 15 horas de atividade, receber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Declara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participa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e poder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o solicitar carga </w:t>
      </w:r>
      <w:r>
        <w:rPr>
          <w:rStyle w:val="None"/>
          <w:sz w:val="24"/>
          <w:szCs w:val="24"/>
          <w:rtl w:val="0"/>
        </w:rPr>
        <w:t>hor</w:t>
      </w:r>
      <w:r>
        <w:rPr>
          <w:rStyle w:val="None"/>
          <w:sz w:val="24"/>
          <w:szCs w:val="24"/>
          <w:rtl w:val="0"/>
        </w:rPr>
        <w:t>á</w:t>
      </w:r>
      <w:r>
        <w:rPr>
          <w:rStyle w:val="None"/>
          <w:sz w:val="24"/>
          <w:szCs w:val="24"/>
          <w:rtl w:val="0"/>
        </w:rPr>
        <w:t>ria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de Atividade Complementar, de acordo com o Art. 12 do Regulamento do Centro Universit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rio AESO Barros Melo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UNIAESO.</w:t>
      </w:r>
    </w:p>
    <w:p>
      <w:pPr>
        <w:pStyle w:val="Body"/>
        <w:spacing w:after="0" w:line="240" w:lineRule="auto"/>
        <w:jc w:val="both"/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8. APRESENTA</w:t>
      </w: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ÇÕ</w:t>
      </w: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</w:t>
      </w:r>
    </w:p>
    <w:p>
      <w:pPr>
        <w:pStyle w:val="Body"/>
        <w:spacing w:after="0" w:line="240" w:lineRule="auto"/>
        <w:jc w:val="both"/>
        <w:rPr>
          <w:rStyle w:val="Non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8.1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Os trabalhos apresentados nos Grupos Tem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ticos, disp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em de at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15 minutos de dura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o;</w:t>
      </w:r>
    </w:p>
    <w:p>
      <w:pPr>
        <w:pStyle w:val="Body"/>
        <w:spacing w:after="0" w:line="240" w:lineRule="auto"/>
        <w:jc w:val="both"/>
        <w:rPr>
          <w:rStyle w:val="None"/>
          <w:sz w:val="24"/>
          <w:szCs w:val="24"/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8.2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As apresenta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dos GTs ser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abertas ao p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blico e ocorrer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o de forma presencial </w:t>
      </w:r>
      <w:r>
        <w:rPr>
          <w:rStyle w:val="None"/>
          <w:sz w:val="24"/>
          <w:szCs w:val="24"/>
          <w:rtl w:val="0"/>
          <w:lang w:val="pt-PT"/>
        </w:rPr>
        <w:t>no Centro Universit</w:t>
      </w:r>
      <w:r>
        <w:rPr>
          <w:rStyle w:val="None"/>
          <w:sz w:val="24"/>
          <w:szCs w:val="24"/>
          <w:rtl w:val="0"/>
        </w:rPr>
        <w:t>á</w:t>
      </w:r>
      <w:r>
        <w:rPr>
          <w:rStyle w:val="None"/>
          <w:sz w:val="24"/>
          <w:szCs w:val="24"/>
          <w:rtl w:val="0"/>
          <w:lang w:val="pt-PT"/>
        </w:rPr>
        <w:t xml:space="preserve">rio Aeso-Barros Melo e na Faculdade Barros Melo Recife; </w:t>
      </w:r>
    </w:p>
    <w:p>
      <w:pPr>
        <w:pStyle w:val="Body"/>
        <w:spacing w:after="0" w:line="240" w:lineRule="auto"/>
        <w:jc w:val="both"/>
        <w:rPr>
          <w:rStyle w:val="Non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8.3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Os pesquisadores s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 respons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veis por todos os equipamentos necess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rios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sua apresenta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o. </w:t>
      </w:r>
    </w:p>
    <w:p>
      <w:pPr>
        <w:pStyle w:val="Body"/>
        <w:spacing w:after="0" w:line="240" w:lineRule="auto"/>
        <w:jc w:val="both"/>
        <w:rPr>
          <w:rStyle w:val="Non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9. DA ORGANIZA</w:t>
      </w: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ÇÃ</w:t>
      </w: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 DO EVENTO E DA SELE</w:t>
      </w: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ÇÃ</w:t>
      </w: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O DOS TRABALHOS</w:t>
      </w:r>
    </w:p>
    <w:p>
      <w:pPr>
        <w:pStyle w:val="Body"/>
        <w:spacing w:after="0" w:line="240" w:lineRule="auto"/>
        <w:jc w:val="both"/>
        <w:rPr>
          <w:rStyle w:val="None"/>
          <w:b w:val="1"/>
          <w:bCs w:val="1"/>
          <w:sz w:val="24"/>
          <w:szCs w:val="24"/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9.1.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 responsabilidades pela organiza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do IX Devir e pela sele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dos trabalhos que ser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apresentados ficar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a cargo da Comiss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Sele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o, composta pelos seguintes professores: </w:t>
      </w:r>
      <w:r>
        <w:rPr>
          <w:rStyle w:val="None"/>
          <w:sz w:val="24"/>
          <w:szCs w:val="24"/>
          <w:rtl w:val="0"/>
          <w:lang w:val="pt-PT"/>
        </w:rPr>
        <w:t>Arthur Magalh</w:t>
      </w:r>
      <w:r>
        <w:rPr>
          <w:rStyle w:val="None"/>
          <w:sz w:val="24"/>
          <w:szCs w:val="24"/>
          <w:rtl w:val="0"/>
          <w:lang w:val="pt-PT"/>
        </w:rPr>
        <w:t>ã</w:t>
      </w:r>
      <w:r>
        <w:rPr>
          <w:rStyle w:val="None"/>
          <w:sz w:val="24"/>
          <w:szCs w:val="24"/>
          <w:rtl w:val="0"/>
          <w:lang w:val="it-IT"/>
        </w:rPr>
        <w:t>es, Bruno Pimentel, C</w:t>
      </w:r>
      <w:r>
        <w:rPr>
          <w:rStyle w:val="None"/>
          <w:sz w:val="24"/>
          <w:szCs w:val="24"/>
          <w:rtl w:val="0"/>
        </w:rPr>
        <w:t>á</w:t>
      </w:r>
      <w:r>
        <w:rPr>
          <w:rStyle w:val="None"/>
          <w:sz w:val="24"/>
          <w:szCs w:val="24"/>
          <w:rtl w:val="0"/>
          <w:lang w:val="es-ES_tradnl"/>
        </w:rPr>
        <w:t>ssia Brito, Fernando Alves, Izabella Barros Melo, Leopoldo Fran</w:t>
      </w:r>
      <w:r>
        <w:rPr>
          <w:rStyle w:val="None"/>
          <w:sz w:val="24"/>
          <w:szCs w:val="24"/>
          <w:rtl w:val="0"/>
        </w:rPr>
        <w:t>ç</w:t>
      </w:r>
      <w:r>
        <w:rPr>
          <w:rStyle w:val="None"/>
          <w:sz w:val="24"/>
          <w:szCs w:val="24"/>
          <w:rtl w:val="0"/>
          <w:lang w:val="es-ES_tradnl"/>
        </w:rPr>
        <w:t>a, Luiz Ot</w:t>
      </w:r>
      <w:r>
        <w:rPr>
          <w:rStyle w:val="None"/>
          <w:sz w:val="24"/>
          <w:szCs w:val="24"/>
          <w:rtl w:val="0"/>
        </w:rPr>
        <w:t>á</w:t>
      </w:r>
      <w:r>
        <w:rPr>
          <w:rStyle w:val="None"/>
          <w:sz w:val="24"/>
          <w:szCs w:val="24"/>
          <w:rtl w:val="0"/>
          <w:lang w:val="pt-PT"/>
        </w:rPr>
        <w:t xml:space="preserve">vio Pereira, Milena Travassos, Meire Queiroz, Nara Castro, Sandra Helena, Tacila Estevam e Yuri Bruscky. </w:t>
      </w:r>
    </w:p>
    <w:p>
      <w:pPr>
        <w:pStyle w:val="Body"/>
        <w:spacing w:after="0" w:line="240" w:lineRule="auto"/>
        <w:jc w:val="both"/>
        <w:rPr>
          <w:rStyle w:val="Non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40" w:lineRule="auto"/>
        <w:jc w:val="both"/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10. OBSERVA</w:t>
      </w: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ÇÕ</w:t>
      </w: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ES ADICIONAIS </w:t>
      </w:r>
    </w:p>
    <w:p>
      <w:pPr>
        <w:pStyle w:val="Body"/>
        <w:spacing w:after="0" w:line="240" w:lineRule="auto"/>
        <w:jc w:val="both"/>
        <w:rPr>
          <w:rStyle w:val="None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</w:rPr>
        <w:t>10.1</w:t>
      </w:r>
      <w:r>
        <w:rPr>
          <w:rStyle w:val="None"/>
          <w:sz w:val="24"/>
          <w:szCs w:val="24"/>
          <w:rtl w:val="0"/>
          <w:lang w:val="pt-PT"/>
        </w:rPr>
        <w:t xml:space="preserve"> A programa</w:t>
      </w:r>
      <w:r>
        <w:rPr>
          <w:rStyle w:val="None"/>
          <w:sz w:val="24"/>
          <w:szCs w:val="24"/>
          <w:rtl w:val="0"/>
          <w:lang w:val="pt-PT"/>
        </w:rPr>
        <w:t>çã</w:t>
      </w:r>
      <w:r>
        <w:rPr>
          <w:rStyle w:val="None"/>
          <w:sz w:val="24"/>
          <w:szCs w:val="24"/>
          <w:rtl w:val="0"/>
          <w:lang w:val="pt-PT"/>
        </w:rPr>
        <w:t>o final de cada GT ser</w:t>
      </w:r>
      <w:r>
        <w:rPr>
          <w:rStyle w:val="None"/>
          <w:sz w:val="24"/>
          <w:szCs w:val="24"/>
          <w:rtl w:val="0"/>
        </w:rPr>
        <w:t xml:space="preserve">á </w:t>
      </w:r>
      <w:r>
        <w:rPr>
          <w:rStyle w:val="None"/>
          <w:sz w:val="24"/>
          <w:szCs w:val="24"/>
          <w:rtl w:val="0"/>
          <w:lang w:val="pt-PT"/>
        </w:rPr>
        <w:t>divulgada com anteced</w:t>
      </w:r>
      <w:r>
        <w:rPr>
          <w:rStyle w:val="None"/>
          <w:sz w:val="24"/>
          <w:szCs w:val="24"/>
          <w:rtl w:val="0"/>
        </w:rPr>
        <w:t>ê</w:t>
      </w:r>
      <w:r>
        <w:rPr>
          <w:rStyle w:val="None"/>
          <w:sz w:val="24"/>
          <w:szCs w:val="24"/>
          <w:rtl w:val="0"/>
          <w:lang w:val="pt-PT"/>
        </w:rPr>
        <w:t xml:space="preserve">ncia no site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"https://uniaeso.edu.br/"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https://uniaeso.edu.br/</w:t>
      </w:r>
      <w:r>
        <w:rPr/>
        <w:fldChar w:fldCharType="end" w:fldLock="0"/>
      </w:r>
      <w:r>
        <w:rPr>
          <w:rStyle w:val="None"/>
          <w:sz w:val="24"/>
          <w:szCs w:val="24"/>
          <w:rtl w:val="0"/>
          <w:lang w:val="pt-PT"/>
        </w:rPr>
        <w:t xml:space="preserve">  e nas redes sociais da IES;</w:t>
      </w:r>
    </w:p>
    <w:p>
      <w:pPr>
        <w:pStyle w:val="Body"/>
        <w:spacing w:after="0" w:line="240" w:lineRule="auto"/>
        <w:jc w:val="both"/>
        <w:rPr>
          <w:rStyle w:val="None"/>
          <w:sz w:val="24"/>
          <w:szCs w:val="24"/>
        </w:rPr>
      </w:pPr>
      <w:r>
        <w:rPr>
          <w:rStyle w:val="None"/>
          <w:b w:val="1"/>
          <w:bCs w:val="1"/>
          <w:sz w:val="24"/>
          <w:szCs w:val="24"/>
          <w:rtl w:val="0"/>
        </w:rPr>
        <w:t xml:space="preserve">10.2 </w:t>
      </w:r>
      <w:r>
        <w:rPr>
          <w:rStyle w:val="None"/>
          <w:sz w:val="24"/>
          <w:szCs w:val="24"/>
          <w:rtl w:val="0"/>
          <w:lang w:val="pt-PT"/>
        </w:rPr>
        <w:t>Para emiss</w:t>
      </w:r>
      <w:r>
        <w:rPr>
          <w:rStyle w:val="None"/>
          <w:sz w:val="24"/>
          <w:szCs w:val="24"/>
          <w:rtl w:val="0"/>
          <w:lang w:val="pt-PT"/>
        </w:rPr>
        <w:t>ã</w:t>
      </w:r>
      <w:r>
        <w:rPr>
          <w:rStyle w:val="None"/>
          <w:sz w:val="24"/>
          <w:szCs w:val="24"/>
          <w:rtl w:val="0"/>
          <w:lang w:val="pt-PT"/>
        </w:rPr>
        <w:t>o do Certificado de apresenta</w:t>
      </w:r>
      <w:r>
        <w:rPr>
          <w:rStyle w:val="None"/>
          <w:sz w:val="24"/>
          <w:szCs w:val="24"/>
          <w:rtl w:val="0"/>
          <w:lang w:val="pt-PT"/>
        </w:rPr>
        <w:t>çã</w:t>
      </w:r>
      <w:r>
        <w:rPr>
          <w:rStyle w:val="None"/>
          <w:sz w:val="24"/>
          <w:szCs w:val="24"/>
          <w:rtl w:val="0"/>
          <w:lang w:val="pt-PT"/>
        </w:rPr>
        <w:t>o, os autores dever</w:t>
      </w:r>
      <w:r>
        <w:rPr>
          <w:rStyle w:val="None"/>
          <w:sz w:val="24"/>
          <w:szCs w:val="24"/>
          <w:rtl w:val="0"/>
          <w:lang w:val="pt-PT"/>
        </w:rPr>
        <w:t>ã</w:t>
      </w:r>
      <w:r>
        <w:rPr>
          <w:rStyle w:val="None"/>
          <w:sz w:val="24"/>
          <w:szCs w:val="24"/>
          <w:rtl w:val="0"/>
          <w:lang w:val="pt-PT"/>
        </w:rPr>
        <w:t>o estar devidamente inscritos e comparecerem para apresenta</w:t>
      </w:r>
      <w:r>
        <w:rPr>
          <w:rStyle w:val="None"/>
          <w:sz w:val="24"/>
          <w:szCs w:val="24"/>
          <w:rtl w:val="0"/>
          <w:lang w:val="pt-PT"/>
        </w:rPr>
        <w:t>çã</w:t>
      </w:r>
      <w:r>
        <w:rPr>
          <w:rStyle w:val="None"/>
          <w:sz w:val="24"/>
          <w:szCs w:val="24"/>
          <w:rtl w:val="0"/>
          <w:lang w:val="pt-PT"/>
        </w:rPr>
        <w:t xml:space="preserve">o do resumo selecionado; </w:t>
      </w:r>
    </w:p>
    <w:p>
      <w:pPr>
        <w:pStyle w:val="Body"/>
        <w:spacing w:after="0" w:line="240" w:lineRule="auto"/>
        <w:jc w:val="both"/>
        <w:rPr>
          <w:rStyle w:val="None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b w:val="1"/>
          <w:bCs w:val="1"/>
          <w:sz w:val="24"/>
          <w:szCs w:val="24"/>
          <w:rtl w:val="0"/>
        </w:rPr>
        <w:t>10.3</w:t>
      </w:r>
      <w:r>
        <w:rPr>
          <w:rStyle w:val="None"/>
          <w:sz w:val="24"/>
          <w:szCs w:val="24"/>
          <w:rtl w:val="0"/>
          <w:lang w:val="en-US"/>
        </w:rPr>
        <w:t xml:space="preserve"> A submiss</w:t>
      </w:r>
      <w:r>
        <w:rPr>
          <w:rStyle w:val="None"/>
          <w:sz w:val="24"/>
          <w:szCs w:val="24"/>
          <w:rtl w:val="0"/>
          <w:lang w:val="pt-PT"/>
        </w:rPr>
        <w:t>ã</w:t>
      </w:r>
      <w:r>
        <w:rPr>
          <w:rStyle w:val="None"/>
          <w:sz w:val="24"/>
          <w:szCs w:val="24"/>
          <w:rtl w:val="0"/>
          <w:lang w:val="pt-PT"/>
        </w:rPr>
        <w:t>o dos trabalhos implica em total acordo com os termos desta chamada.</w:t>
      </w:r>
    </w:p>
    <w:tbl>
      <w:tblPr>
        <w:tblW w:w="121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613"/>
        <w:gridCol w:w="3525"/>
      </w:tblGrid>
      <w:tr>
        <w:tblPrEx>
          <w:shd w:val="clear" w:color="auto" w:fill="ced7e7"/>
        </w:tblPrEx>
        <w:trPr>
          <w:trHeight w:val="3242" w:hRule="atLeast"/>
        </w:trPr>
        <w:tc>
          <w:tcPr>
            <w:tcW w:type="dxa" w:w="86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  <w:rPr>
                <w:rStyle w:val="None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CALEND</w:t>
            </w:r>
            <w:r>
              <w:rPr>
                <w:rStyle w:val="None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Á</w:t>
            </w:r>
            <w:r>
              <w:rPr>
                <w:rStyle w:val="None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RIO</w:t>
            </w:r>
          </w:p>
          <w:p>
            <w:pPr>
              <w:pStyle w:val="Body"/>
              <w:rPr>
                <w:rStyle w:val="None"/>
                <w:sz w:val="24"/>
                <w:szCs w:val="24"/>
                <w:shd w:val="nil" w:color="auto" w:fill="auto"/>
                <w:lang w:val="pt-PT"/>
              </w:rPr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1. Per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odo para submiss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ã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o dos trabalhos.</w:t>
              <w:tab/>
              <w:t>09 de mar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ç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o a 27 de abril</w:t>
            </w:r>
          </w:p>
          <w:p>
            <w:pPr>
              <w:pStyle w:val="Body"/>
              <w:rPr>
                <w:rStyle w:val="None"/>
                <w:sz w:val="24"/>
                <w:szCs w:val="24"/>
                <w:shd w:val="nil" w:color="auto" w:fill="auto"/>
                <w:lang w:val="pt-PT"/>
              </w:rPr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2. Divulga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o dos trabalhos selecionados.</w:t>
              <w:tab/>
              <w:t xml:space="preserve">06 de maio </w:t>
            </w:r>
          </w:p>
          <w:p>
            <w:pPr>
              <w:pStyle w:val="Body"/>
              <w:rPr>
                <w:rStyle w:val="None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3. IX Devir: Encontro de pesquisadores em inova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o e sociedade.</w:t>
              <w:tab/>
              <w:t>18 a 20 de maio</w:t>
            </w:r>
          </w:p>
          <w:p>
            <w:pPr>
              <w:pStyle w:val="Body"/>
              <w:rPr>
                <w:rStyle w:val="None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Body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4. Recebimento dos trabalhos finais.</w:t>
              <w:tab/>
              <w:t>at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 xml:space="preserve">é 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30 de junho</w:t>
            </w:r>
          </w:p>
        </w:tc>
        <w:tc>
          <w:tcPr>
            <w:tcW w:type="dxa" w:w="35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Style w:val="None"/>
                <w:sz w:val="24"/>
                <w:szCs w:val="24"/>
                <w:shd w:val="nil" w:color="auto" w:fill="auto"/>
                <w:lang w:val="pt-PT"/>
              </w:rPr>
            </w:pPr>
          </w:p>
          <w:p>
            <w:pPr>
              <w:pStyle w:val="Body"/>
              <w:spacing w:after="0" w:line="240" w:lineRule="auto"/>
              <w:rPr>
                <w:rStyle w:val="None"/>
                <w:sz w:val="24"/>
                <w:szCs w:val="24"/>
                <w:shd w:val="nil" w:color="auto" w:fill="auto"/>
                <w:lang w:val="pt-PT"/>
              </w:rPr>
            </w:pPr>
          </w:p>
          <w:p>
            <w:pPr>
              <w:pStyle w:val="Body"/>
              <w:spacing w:after="0" w:line="240" w:lineRule="auto"/>
              <w:rPr>
                <w:rStyle w:val="None"/>
                <w:sz w:val="24"/>
                <w:szCs w:val="24"/>
                <w:shd w:val="nil" w:color="auto" w:fill="auto"/>
                <w:lang w:val="pt-PT"/>
              </w:rPr>
            </w:pPr>
          </w:p>
          <w:p>
            <w:pPr>
              <w:pStyle w:val="Body"/>
              <w:spacing w:after="0" w:line="240" w:lineRule="auto"/>
              <w:rPr>
                <w:rStyle w:val="None"/>
                <w:sz w:val="24"/>
                <w:szCs w:val="24"/>
                <w:shd w:val="nil" w:color="auto" w:fill="auto"/>
                <w:lang w:val="pt-PT"/>
              </w:rPr>
            </w:pPr>
          </w:p>
          <w:p>
            <w:pPr>
              <w:pStyle w:val="Body"/>
              <w:spacing w:after="0" w:line="240" w:lineRule="auto"/>
              <w:rPr>
                <w:rStyle w:val="None"/>
                <w:sz w:val="24"/>
                <w:szCs w:val="24"/>
                <w:shd w:val="nil" w:color="auto" w:fill="auto"/>
                <w:lang w:val="pt-PT"/>
              </w:rPr>
            </w:pPr>
          </w:p>
          <w:p>
            <w:pPr>
              <w:pStyle w:val="Body"/>
              <w:spacing w:after="0" w:line="240" w:lineRule="auto"/>
            </w:pPr>
            <w:r>
              <w:rPr>
                <w:rStyle w:val="None"/>
                <w:sz w:val="24"/>
                <w:szCs w:val="24"/>
                <w:shd w:val="nil" w:color="auto" w:fill="auto"/>
                <w:lang w:val="pt-PT"/>
              </w:rPr>
            </w:r>
          </w:p>
        </w:tc>
      </w:tr>
      <w:tr>
        <w:tblPrEx>
          <w:shd w:val="clear" w:color="auto" w:fill="ced7e7"/>
        </w:tblPrEx>
        <w:trPr>
          <w:trHeight w:val="247" w:hRule="atLeast"/>
        </w:trPr>
        <w:tc>
          <w:tcPr>
            <w:tcW w:type="dxa" w:w="86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7" w:hRule="atLeast"/>
        </w:trPr>
        <w:tc>
          <w:tcPr>
            <w:tcW w:type="dxa" w:w="86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after="0" w:line="240" w:lineRule="auto"/>
              <w:jc w:val="center"/>
              <w:rPr>
                <w:rStyle w:val="None"/>
                <w:sz w:val="24"/>
                <w:szCs w:val="24"/>
                <w:shd w:val="nil" w:color="auto" w:fill="auto"/>
              </w:rPr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Olinda, 04 de mar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ç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o de 2026</w:t>
            </w:r>
          </w:p>
          <w:p>
            <w:pPr>
              <w:pStyle w:val="Body"/>
              <w:widowControl w:val="0"/>
              <w:bidi w:val="0"/>
              <w:spacing w:after="0" w:line="240" w:lineRule="auto"/>
              <w:ind w:left="0" w:right="0" w:firstLine="0"/>
              <w:jc w:val="center"/>
              <w:rPr>
                <w:rStyle w:val="None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Prof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ª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. Iv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â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nia Maria de Barros Melo Dias</w:t>
            </w:r>
          </w:p>
          <w:p>
            <w:pPr>
              <w:pStyle w:val="Body"/>
              <w:widowControl w:val="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pt-PT"/>
              </w:rPr>
              <w:t>Reitora UNIAESO</w:t>
            </w:r>
          </w:p>
        </w:tc>
        <w:tc>
          <w:tcPr>
            <w:tcW w:type="dxa" w:w="35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jc w:val="both"/>
      </w:pPr>
      <w:r>
        <w:rPr>
          <w:rStyle w:val="None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1155cc"/>
      <w:sz w:val="24"/>
      <w:szCs w:val="24"/>
      <w:u w:val="single" w:color="1155cc"/>
      <w14:textFill>
        <w14:solidFill>
          <w14:srgbClr w14:val="1155CC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